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15F" w:rsidRPr="00BA015F" w:rsidRDefault="00BA015F" w:rsidP="00BA015F">
      <w:pPr>
        <w:spacing w:before="100" w:beforeAutospacing="1" w:after="120" w:line="240" w:lineRule="auto"/>
        <w:rPr>
          <w:rFonts w:ascii="Times New Roman" w:eastAsia="Times New Roman" w:hAnsi="Times New Roman" w:cs="Times New Roman"/>
          <w:sz w:val="24"/>
          <w:szCs w:val="24"/>
        </w:rPr>
      </w:pPr>
      <w:r w:rsidRPr="00BA015F">
        <w:rPr>
          <w:rFonts w:ascii="Maiandra GD" w:eastAsia="Times New Roman" w:hAnsi="Maiandra GD" w:cs="Times New Roman"/>
          <w:b/>
          <w:bCs/>
          <w:color w:val="000000"/>
          <w:sz w:val="24"/>
          <w:szCs w:val="24"/>
          <w:u w:val="single"/>
        </w:rPr>
        <w:t>Upcoming Webinar: COVID-19 Planning and Response: Overview of EPA's Pandemic Incident Action Checklist for Water Utilities</w:t>
      </w:r>
      <w:r w:rsidRPr="00BA015F">
        <w:rPr>
          <w:rFonts w:ascii="Maiandra GD" w:eastAsia="Times New Roman" w:hAnsi="Maiandra GD" w:cs="Times New Roman"/>
          <w:b/>
          <w:bCs/>
          <w:color w:val="000000"/>
          <w:sz w:val="24"/>
          <w:szCs w:val="24"/>
        </w:rPr>
        <w:t>:</w:t>
      </w:r>
      <w:r w:rsidRPr="00BA015F">
        <w:rPr>
          <w:rFonts w:ascii="Maiandra GD" w:eastAsia="Times New Roman" w:hAnsi="Maiandra GD" w:cs="Times New Roman"/>
          <w:color w:val="000000"/>
          <w:sz w:val="24"/>
          <w:szCs w:val="24"/>
        </w:rPr>
        <w:t xml:space="preserve"> In light of the current COVID-19 pandemic, Environmental Protection Agency (EPA) is hosting a webinar for small and medium-sized water systems on the recently released Pandemic Incident Action Checklist (IAC).  </w:t>
      </w:r>
      <w:r w:rsidRPr="00BA015F">
        <w:rPr>
          <w:rFonts w:ascii="Maiandra GD" w:eastAsia="Times New Roman" w:hAnsi="Maiandra GD" w:cs="Times New Roman"/>
          <w:color w:val="FF0000"/>
          <w:sz w:val="24"/>
          <w:szCs w:val="24"/>
        </w:rPr>
        <w:t xml:space="preserve">The webinar is scheduled for Tuesday, April 7, 2020 from 1:00-2:00 PM (EDT) and will be recorded for those that cannot attend.  </w:t>
      </w:r>
      <w:r w:rsidRPr="00BA015F">
        <w:rPr>
          <w:rFonts w:ascii="Maiandra GD" w:eastAsia="Times New Roman" w:hAnsi="Maiandra GD" w:cs="Times New Roman"/>
          <w:color w:val="000000"/>
          <w:sz w:val="24"/>
          <w:szCs w:val="24"/>
        </w:rPr>
        <w:t>The webinar will include:</w:t>
      </w:r>
    </w:p>
    <w:p w:rsidR="00BA015F" w:rsidRPr="00BA015F" w:rsidRDefault="00BA015F" w:rsidP="00BA015F">
      <w:pPr>
        <w:numPr>
          <w:ilvl w:val="0"/>
          <w:numId w:val="1"/>
        </w:numPr>
        <w:spacing w:before="100" w:beforeAutospacing="1" w:after="120" w:line="240" w:lineRule="auto"/>
        <w:rPr>
          <w:rFonts w:ascii="Times New Roman" w:eastAsia="Times New Roman" w:hAnsi="Times New Roman" w:cs="Times New Roman"/>
          <w:color w:val="000000"/>
          <w:sz w:val="24"/>
          <w:szCs w:val="24"/>
        </w:rPr>
      </w:pPr>
      <w:r w:rsidRPr="00BA015F">
        <w:rPr>
          <w:rFonts w:ascii="Maiandra GD" w:eastAsia="Times New Roman" w:hAnsi="Maiandra GD" w:cs="Times New Roman"/>
          <w:color w:val="000000"/>
          <w:sz w:val="24"/>
          <w:szCs w:val="24"/>
        </w:rPr>
        <w:t>An overview of the recently released Pandemic Incident Action Checklist (IAC);</w:t>
      </w:r>
    </w:p>
    <w:p w:rsidR="00BA015F" w:rsidRPr="00BA015F" w:rsidRDefault="00BA015F" w:rsidP="00BA015F">
      <w:pPr>
        <w:numPr>
          <w:ilvl w:val="0"/>
          <w:numId w:val="1"/>
        </w:numPr>
        <w:spacing w:before="100" w:beforeAutospacing="1" w:after="120" w:line="240" w:lineRule="auto"/>
        <w:rPr>
          <w:rFonts w:ascii="Times New Roman" w:eastAsia="Times New Roman" w:hAnsi="Times New Roman" w:cs="Times New Roman"/>
          <w:color w:val="000000"/>
          <w:sz w:val="24"/>
          <w:szCs w:val="24"/>
        </w:rPr>
      </w:pPr>
      <w:r w:rsidRPr="00BA015F">
        <w:rPr>
          <w:rFonts w:ascii="Maiandra GD" w:eastAsia="Times New Roman" w:hAnsi="Maiandra GD" w:cs="Times New Roman"/>
          <w:color w:val="000000"/>
          <w:sz w:val="24"/>
          <w:szCs w:val="24"/>
        </w:rPr>
        <w:t xml:space="preserve">A case study from Todd Brown, the Town of </w:t>
      </w:r>
      <w:proofErr w:type="spellStart"/>
      <w:r w:rsidRPr="00BA015F">
        <w:rPr>
          <w:rFonts w:ascii="Maiandra GD" w:eastAsia="Times New Roman" w:hAnsi="Maiandra GD" w:cs="Times New Roman"/>
          <w:color w:val="000000"/>
          <w:sz w:val="24"/>
          <w:szCs w:val="24"/>
        </w:rPr>
        <w:t>Marbleton</w:t>
      </w:r>
      <w:proofErr w:type="spellEnd"/>
      <w:r w:rsidRPr="00BA015F">
        <w:rPr>
          <w:rFonts w:ascii="Maiandra GD" w:eastAsia="Times New Roman" w:hAnsi="Maiandra GD" w:cs="Times New Roman"/>
          <w:color w:val="000000"/>
          <w:sz w:val="24"/>
          <w:szCs w:val="24"/>
        </w:rPr>
        <w:t>, Wyoming Public Works Director, who will talk about the actions his small system has taken in response to COVID-19;</w:t>
      </w:r>
    </w:p>
    <w:p w:rsidR="00BA015F" w:rsidRPr="00BA015F" w:rsidRDefault="00BA015F" w:rsidP="00BA015F">
      <w:pPr>
        <w:numPr>
          <w:ilvl w:val="0"/>
          <w:numId w:val="1"/>
        </w:numPr>
        <w:spacing w:before="100" w:beforeAutospacing="1" w:after="120" w:line="240" w:lineRule="auto"/>
        <w:rPr>
          <w:rFonts w:ascii="Times New Roman" w:eastAsia="Times New Roman" w:hAnsi="Times New Roman" w:cs="Times New Roman"/>
          <w:color w:val="000000"/>
          <w:sz w:val="24"/>
          <w:szCs w:val="24"/>
        </w:rPr>
      </w:pPr>
      <w:r w:rsidRPr="00BA015F">
        <w:rPr>
          <w:rFonts w:ascii="Maiandra GD" w:eastAsia="Times New Roman" w:hAnsi="Maiandra GD" w:cs="Times New Roman"/>
          <w:color w:val="000000"/>
          <w:sz w:val="24"/>
          <w:szCs w:val="24"/>
        </w:rPr>
        <w:t>A Q&amp;A session.</w:t>
      </w:r>
    </w:p>
    <w:p w:rsidR="00BA015F" w:rsidRPr="00BA015F" w:rsidRDefault="00BA015F" w:rsidP="00BA015F">
      <w:pPr>
        <w:numPr>
          <w:ilvl w:val="0"/>
          <w:numId w:val="1"/>
        </w:numPr>
        <w:spacing w:before="100" w:beforeAutospacing="1" w:after="120" w:line="240" w:lineRule="auto"/>
        <w:rPr>
          <w:rFonts w:ascii="Times New Roman" w:eastAsia="Times New Roman" w:hAnsi="Times New Roman" w:cs="Times New Roman"/>
          <w:color w:val="000000"/>
          <w:sz w:val="24"/>
          <w:szCs w:val="24"/>
        </w:rPr>
      </w:pPr>
      <w:r w:rsidRPr="00BA015F">
        <w:rPr>
          <w:rFonts w:ascii="Maiandra GD" w:eastAsia="Times New Roman" w:hAnsi="Maiandra GD" w:cs="Times New Roman"/>
          <w:color w:val="000000"/>
          <w:sz w:val="24"/>
          <w:szCs w:val="24"/>
        </w:rPr>
        <w:t>The webinar’s registration link is:</w:t>
      </w:r>
    </w:p>
    <w:p w:rsidR="00BA015F" w:rsidRPr="00BA015F" w:rsidRDefault="00BA015F" w:rsidP="00BA015F">
      <w:pPr>
        <w:numPr>
          <w:ilvl w:val="0"/>
          <w:numId w:val="2"/>
        </w:numPr>
        <w:spacing w:after="100" w:afterAutospacing="1" w:line="240" w:lineRule="auto"/>
        <w:ind w:left="1440"/>
        <w:rPr>
          <w:rFonts w:ascii="Times New Roman" w:eastAsia="Times New Roman" w:hAnsi="Times New Roman" w:cs="Times New Roman"/>
          <w:sz w:val="24"/>
          <w:szCs w:val="24"/>
        </w:rPr>
      </w:pPr>
    </w:p>
    <w:p w:rsidR="00BA015F" w:rsidRPr="00BA015F" w:rsidRDefault="00BA015F" w:rsidP="00BA015F">
      <w:pPr>
        <w:numPr>
          <w:ilvl w:val="1"/>
          <w:numId w:val="2"/>
        </w:numPr>
        <w:spacing w:before="100" w:beforeAutospacing="1" w:after="120" w:line="240" w:lineRule="auto"/>
        <w:rPr>
          <w:rFonts w:ascii="Times New Roman" w:eastAsia="Times New Roman" w:hAnsi="Times New Roman" w:cs="Times New Roman"/>
          <w:color w:val="44546A"/>
          <w:sz w:val="24"/>
          <w:szCs w:val="24"/>
        </w:rPr>
      </w:pPr>
      <w:hyperlink r:id="rId5" w:history="1">
        <w:r w:rsidRPr="00BA015F">
          <w:rPr>
            <w:rFonts w:ascii="Maiandra GD" w:eastAsia="Times New Roman" w:hAnsi="Maiandra GD" w:cs="Times New Roman"/>
            <w:color w:val="0000FF"/>
            <w:sz w:val="24"/>
            <w:szCs w:val="24"/>
            <w:u w:val="single"/>
          </w:rPr>
          <w:t>https://register.gotowebinar.com/register/6290760526788207374</w:t>
        </w:r>
      </w:hyperlink>
    </w:p>
    <w:p w:rsidR="00BA015F" w:rsidRPr="00BA015F" w:rsidRDefault="00BA015F" w:rsidP="00BA015F">
      <w:pPr>
        <w:spacing w:before="100" w:beforeAutospacing="1" w:after="120" w:line="240" w:lineRule="auto"/>
        <w:rPr>
          <w:rFonts w:ascii="Times New Roman" w:eastAsia="Times New Roman" w:hAnsi="Times New Roman" w:cs="Times New Roman"/>
          <w:sz w:val="24"/>
          <w:szCs w:val="24"/>
        </w:rPr>
      </w:pPr>
      <w:r w:rsidRPr="00BA015F">
        <w:rPr>
          <w:rFonts w:ascii="Maiandra GD" w:eastAsia="Times New Roman" w:hAnsi="Maiandra GD" w:cs="Times New Roman"/>
          <w:b/>
          <w:bCs/>
          <w:sz w:val="24"/>
          <w:szCs w:val="24"/>
          <w:u w:val="single"/>
        </w:rPr>
        <w:t>EPA Water Utility Template:  COVID-19 Pandemic (DOCX) April 3, 2020</w:t>
      </w:r>
      <w:r w:rsidRPr="00BA015F">
        <w:rPr>
          <w:rFonts w:ascii="Maiandra GD" w:eastAsia="Times New Roman" w:hAnsi="Maiandra GD" w:cs="Times New Roman"/>
          <w:b/>
          <w:bCs/>
          <w:sz w:val="24"/>
          <w:szCs w:val="24"/>
        </w:rPr>
        <w:t>:</w:t>
      </w:r>
      <w:r w:rsidRPr="00BA015F">
        <w:rPr>
          <w:rFonts w:ascii="Maiandra GD" w:eastAsia="Times New Roman" w:hAnsi="Maiandra GD" w:cs="Times New Roman"/>
          <w:sz w:val="24"/>
          <w:szCs w:val="24"/>
        </w:rPr>
        <w:t xml:space="preserve">  Most emergency shelter-in-place declarations have exemptions that allow the critical infrastructure utilities to continue with operations. The scope/extent of the exemptions for the water sector, i.e., the inclusion of field personnel; IT workforce; chemical and equipment suppliers, etc., may not be fully known or communicated with local emergency managers and law enforcement. EPA produced a “template” as guidance for states/tribes/counties/utilities to use to document essential workers, vendors, and suppliers. </w:t>
      </w:r>
    </w:p>
    <w:p w:rsidR="00BA015F" w:rsidRPr="00BA015F" w:rsidRDefault="00BA015F" w:rsidP="00BA015F">
      <w:pPr>
        <w:numPr>
          <w:ilvl w:val="0"/>
          <w:numId w:val="3"/>
        </w:numPr>
        <w:spacing w:before="100" w:beforeAutospacing="1" w:after="120" w:line="240" w:lineRule="auto"/>
        <w:rPr>
          <w:rFonts w:ascii="Times New Roman" w:eastAsia="Times New Roman" w:hAnsi="Times New Roman" w:cs="Times New Roman"/>
          <w:sz w:val="24"/>
          <w:szCs w:val="24"/>
        </w:rPr>
      </w:pPr>
      <w:r w:rsidRPr="00BA015F">
        <w:rPr>
          <w:rFonts w:ascii="Maiandra GD" w:eastAsia="Times New Roman" w:hAnsi="Maiandra GD" w:cs="Times New Roman"/>
          <w:sz w:val="24"/>
          <w:szCs w:val="24"/>
        </w:rPr>
        <w:t>The template can be found at:    </w:t>
      </w:r>
    </w:p>
    <w:p w:rsidR="00BA015F" w:rsidRPr="00BA015F" w:rsidRDefault="00BA015F" w:rsidP="00BA015F">
      <w:pPr>
        <w:numPr>
          <w:ilvl w:val="0"/>
          <w:numId w:val="4"/>
        </w:numPr>
        <w:spacing w:after="100" w:afterAutospacing="1" w:line="240" w:lineRule="auto"/>
        <w:ind w:left="1440"/>
        <w:rPr>
          <w:rFonts w:ascii="Times New Roman" w:eastAsia="Times New Roman" w:hAnsi="Times New Roman" w:cs="Times New Roman"/>
          <w:sz w:val="24"/>
          <w:szCs w:val="24"/>
        </w:rPr>
      </w:pPr>
    </w:p>
    <w:p w:rsidR="00BA015F" w:rsidRPr="00BA015F" w:rsidRDefault="00BA015F" w:rsidP="00BA015F">
      <w:pPr>
        <w:numPr>
          <w:ilvl w:val="1"/>
          <w:numId w:val="4"/>
        </w:numPr>
        <w:spacing w:before="100" w:beforeAutospacing="1" w:after="120" w:line="240" w:lineRule="auto"/>
        <w:rPr>
          <w:rFonts w:ascii="Times New Roman" w:eastAsia="Times New Roman" w:hAnsi="Times New Roman" w:cs="Times New Roman"/>
          <w:sz w:val="24"/>
          <w:szCs w:val="24"/>
        </w:rPr>
      </w:pPr>
      <w:hyperlink r:id="rId6" w:history="1">
        <w:r w:rsidRPr="00BA015F">
          <w:rPr>
            <w:rFonts w:ascii="Maiandra GD" w:eastAsia="Times New Roman" w:hAnsi="Maiandra GD" w:cs="Times New Roman"/>
            <w:color w:val="0000FF"/>
            <w:sz w:val="24"/>
            <w:szCs w:val="24"/>
            <w:u w:val="single"/>
          </w:rPr>
          <w:t>https://www.epa.gov/coronavirus/coronavirus-and-drinking-water-and-wastewater</w:t>
        </w:r>
      </w:hyperlink>
      <w:r w:rsidRPr="00BA015F">
        <w:rPr>
          <w:rFonts w:ascii="Maiandra GD" w:eastAsia="Times New Roman" w:hAnsi="Maiandra GD" w:cs="Times New Roman"/>
          <w:sz w:val="24"/>
          <w:szCs w:val="24"/>
        </w:rPr>
        <w:br/>
        <w:t>or download the MS Word document directly from:</w:t>
      </w:r>
    </w:p>
    <w:p w:rsidR="00BA015F" w:rsidRPr="00BA015F" w:rsidRDefault="00BA015F" w:rsidP="00BA015F">
      <w:pPr>
        <w:numPr>
          <w:ilvl w:val="1"/>
          <w:numId w:val="4"/>
        </w:numPr>
        <w:spacing w:before="100" w:beforeAutospacing="1" w:after="120" w:line="240" w:lineRule="auto"/>
        <w:rPr>
          <w:rFonts w:ascii="Times New Roman" w:eastAsia="Times New Roman" w:hAnsi="Times New Roman" w:cs="Times New Roman"/>
          <w:sz w:val="24"/>
          <w:szCs w:val="24"/>
        </w:rPr>
      </w:pPr>
      <w:hyperlink r:id="rId7" w:history="1">
        <w:r w:rsidRPr="00BA015F">
          <w:rPr>
            <w:rFonts w:ascii="Maiandra GD" w:eastAsia="Times New Roman" w:hAnsi="Maiandra GD" w:cs="Times New Roman"/>
            <w:color w:val="0000FF"/>
            <w:sz w:val="24"/>
            <w:szCs w:val="24"/>
            <w:u w:val="single"/>
          </w:rPr>
          <w:t>https://www.epa.gov/sites/production/files/2020-04/water_utility_template_covid19.docx</w:t>
        </w:r>
      </w:hyperlink>
    </w:p>
    <w:p w:rsidR="00BA015F" w:rsidRPr="00BA015F" w:rsidRDefault="00BA015F" w:rsidP="00BA015F">
      <w:pPr>
        <w:spacing w:before="100" w:beforeAutospacing="1" w:after="120" w:line="240" w:lineRule="auto"/>
        <w:rPr>
          <w:rFonts w:ascii="Times New Roman" w:eastAsia="Times New Roman" w:hAnsi="Times New Roman" w:cs="Times New Roman"/>
          <w:sz w:val="24"/>
          <w:szCs w:val="24"/>
        </w:rPr>
      </w:pPr>
      <w:r w:rsidRPr="00BA015F">
        <w:rPr>
          <w:rFonts w:ascii="Maiandra GD" w:eastAsia="Times New Roman" w:hAnsi="Maiandra GD" w:cs="Times New Roman"/>
          <w:b/>
          <w:bCs/>
          <w:sz w:val="24"/>
          <w:szCs w:val="24"/>
          <w:u w:val="single"/>
        </w:rPr>
        <w:t>Incident Action Checklist</w:t>
      </w:r>
      <w:r w:rsidRPr="00BA015F">
        <w:rPr>
          <w:rFonts w:ascii="Maiandra GD" w:eastAsia="Times New Roman" w:hAnsi="Maiandra GD" w:cs="Times New Roman"/>
          <w:b/>
          <w:bCs/>
          <w:sz w:val="24"/>
          <w:szCs w:val="24"/>
        </w:rPr>
        <w:t>:</w:t>
      </w:r>
      <w:r w:rsidRPr="00BA015F">
        <w:rPr>
          <w:rFonts w:ascii="Maiandra GD" w:eastAsia="Times New Roman" w:hAnsi="Maiandra GD" w:cs="Times New Roman"/>
          <w:sz w:val="24"/>
          <w:szCs w:val="24"/>
        </w:rPr>
        <w:t>  EPA’s Incident Action Checklist is comprised of three different “rip &amp; run” checklists that can help water utilities prepare for, respond to, and recover from a pandemic. Each checklist provides examples of actions that drinking water and wastewater systems can take.</w:t>
      </w:r>
    </w:p>
    <w:p w:rsidR="00BA015F" w:rsidRPr="00BA015F" w:rsidRDefault="00BA015F" w:rsidP="00BA015F">
      <w:pPr>
        <w:numPr>
          <w:ilvl w:val="0"/>
          <w:numId w:val="5"/>
        </w:numPr>
        <w:spacing w:before="100" w:beforeAutospacing="1" w:after="120" w:line="240" w:lineRule="auto"/>
        <w:rPr>
          <w:rFonts w:ascii="Times New Roman" w:eastAsia="Times New Roman" w:hAnsi="Times New Roman" w:cs="Times New Roman"/>
          <w:sz w:val="24"/>
          <w:szCs w:val="24"/>
        </w:rPr>
      </w:pPr>
      <w:r w:rsidRPr="00BA015F">
        <w:rPr>
          <w:rFonts w:ascii="Maiandra GD" w:eastAsia="Times New Roman" w:hAnsi="Maiandra GD" w:cs="Times New Roman"/>
          <w:sz w:val="24"/>
          <w:szCs w:val="24"/>
        </w:rPr>
        <w:t xml:space="preserve">We encourage States to coordinate with utilities and water sector support partners (e.g. – RWA, AWWA, WARN) to distribute this resource. </w:t>
      </w:r>
    </w:p>
    <w:p w:rsidR="00BA015F" w:rsidRPr="00BA015F" w:rsidRDefault="00BA015F" w:rsidP="00BA015F">
      <w:pPr>
        <w:numPr>
          <w:ilvl w:val="0"/>
          <w:numId w:val="5"/>
        </w:numPr>
        <w:spacing w:before="100" w:beforeAutospacing="1" w:after="120" w:line="240" w:lineRule="auto"/>
        <w:rPr>
          <w:rFonts w:ascii="Times New Roman" w:eastAsia="Times New Roman" w:hAnsi="Times New Roman" w:cs="Times New Roman"/>
          <w:sz w:val="24"/>
          <w:szCs w:val="24"/>
        </w:rPr>
      </w:pPr>
      <w:r w:rsidRPr="00BA015F">
        <w:rPr>
          <w:rFonts w:ascii="Maiandra GD" w:eastAsia="Times New Roman" w:hAnsi="Maiandra GD" w:cs="Times New Roman"/>
          <w:sz w:val="24"/>
          <w:szCs w:val="24"/>
        </w:rPr>
        <w:t>The IAC can be accessed using this link:</w:t>
      </w:r>
    </w:p>
    <w:p w:rsidR="00BA015F" w:rsidRPr="00BA015F" w:rsidRDefault="00BA015F" w:rsidP="00BA015F">
      <w:pPr>
        <w:numPr>
          <w:ilvl w:val="0"/>
          <w:numId w:val="6"/>
        </w:numPr>
        <w:spacing w:after="100" w:afterAutospacing="1" w:line="240" w:lineRule="auto"/>
        <w:ind w:left="1440"/>
        <w:rPr>
          <w:rFonts w:ascii="Times New Roman" w:eastAsia="Times New Roman" w:hAnsi="Times New Roman" w:cs="Times New Roman"/>
          <w:sz w:val="24"/>
          <w:szCs w:val="24"/>
        </w:rPr>
      </w:pPr>
    </w:p>
    <w:p w:rsidR="00BA015F" w:rsidRPr="00BA015F" w:rsidRDefault="00BA015F" w:rsidP="00BA015F">
      <w:pPr>
        <w:numPr>
          <w:ilvl w:val="1"/>
          <w:numId w:val="6"/>
        </w:numPr>
        <w:spacing w:before="100" w:beforeAutospacing="1" w:after="120" w:line="240" w:lineRule="auto"/>
        <w:rPr>
          <w:rFonts w:ascii="Times New Roman" w:eastAsia="Times New Roman" w:hAnsi="Times New Roman" w:cs="Times New Roman"/>
          <w:sz w:val="24"/>
          <w:szCs w:val="24"/>
        </w:rPr>
      </w:pPr>
      <w:hyperlink r:id="rId8" w:history="1">
        <w:r w:rsidRPr="00BA015F">
          <w:rPr>
            <w:rFonts w:ascii="Maiandra GD" w:eastAsia="Times New Roman" w:hAnsi="Maiandra GD" w:cs="Times New Roman"/>
            <w:color w:val="0000FF"/>
            <w:sz w:val="24"/>
            <w:szCs w:val="24"/>
            <w:u w:val="single"/>
          </w:rPr>
          <w:t>https://www.epa.gov/sites/production/files/2020-03/documents/pandemic_iac_final_032620_508_fillable.pdf</w:t>
        </w:r>
      </w:hyperlink>
    </w:p>
    <w:p w:rsidR="00BA015F" w:rsidRPr="00BA015F" w:rsidRDefault="00BA015F" w:rsidP="00BA015F">
      <w:pPr>
        <w:spacing w:before="100" w:beforeAutospacing="1" w:after="120" w:line="240" w:lineRule="auto"/>
        <w:rPr>
          <w:rFonts w:ascii="Times New Roman" w:eastAsia="Times New Roman" w:hAnsi="Times New Roman" w:cs="Times New Roman"/>
          <w:sz w:val="24"/>
          <w:szCs w:val="24"/>
        </w:rPr>
      </w:pPr>
      <w:r w:rsidRPr="00BA015F">
        <w:rPr>
          <w:rFonts w:ascii="Maiandra GD" w:eastAsia="Times New Roman" w:hAnsi="Maiandra GD" w:cs="Times New Roman"/>
          <w:b/>
          <w:bCs/>
          <w:sz w:val="24"/>
          <w:szCs w:val="24"/>
          <w:u w:val="single"/>
        </w:rPr>
        <w:t>Laboratory Capacity</w:t>
      </w:r>
      <w:r w:rsidRPr="00BA015F">
        <w:rPr>
          <w:rFonts w:ascii="Maiandra GD" w:eastAsia="Times New Roman" w:hAnsi="Maiandra GD" w:cs="Times New Roman"/>
          <w:b/>
          <w:bCs/>
          <w:sz w:val="24"/>
          <w:szCs w:val="24"/>
        </w:rPr>
        <w:t>:</w:t>
      </w:r>
      <w:r w:rsidRPr="00BA015F">
        <w:rPr>
          <w:rFonts w:ascii="Maiandra GD" w:eastAsia="Times New Roman" w:hAnsi="Maiandra GD" w:cs="Times New Roman"/>
          <w:sz w:val="24"/>
          <w:szCs w:val="24"/>
        </w:rPr>
        <w:t>  Staffing may impact ability for laboratories to conduct compliance sample analysis.</w:t>
      </w:r>
    </w:p>
    <w:p w:rsidR="00BA015F" w:rsidRPr="00BA015F" w:rsidRDefault="00BA015F" w:rsidP="00BA015F">
      <w:pPr>
        <w:numPr>
          <w:ilvl w:val="0"/>
          <w:numId w:val="7"/>
        </w:numPr>
        <w:spacing w:before="100" w:beforeAutospacing="1" w:after="120" w:line="240" w:lineRule="auto"/>
        <w:rPr>
          <w:rFonts w:ascii="Times New Roman" w:eastAsia="Times New Roman" w:hAnsi="Times New Roman" w:cs="Times New Roman"/>
          <w:sz w:val="24"/>
          <w:szCs w:val="24"/>
        </w:rPr>
      </w:pPr>
      <w:r w:rsidRPr="00BA015F">
        <w:rPr>
          <w:rFonts w:ascii="Maiandra GD" w:eastAsia="Times New Roman" w:hAnsi="Maiandra GD" w:cs="Times New Roman"/>
          <w:b/>
          <w:bCs/>
          <w:sz w:val="24"/>
          <w:szCs w:val="24"/>
        </w:rPr>
        <w:t>Mutual Aid</w:t>
      </w:r>
      <w:r w:rsidRPr="00BA015F">
        <w:rPr>
          <w:rFonts w:ascii="Maiandra GD" w:eastAsia="Times New Roman" w:hAnsi="Maiandra GD" w:cs="Times New Roman"/>
          <w:sz w:val="24"/>
          <w:szCs w:val="24"/>
        </w:rPr>
        <w:t>:  Encourage your Utilities/Labs to join mutual aid networks (e.g. – WARNs; RWAs).  Laboratory support may be available via WARN.</w:t>
      </w:r>
    </w:p>
    <w:p w:rsidR="00BA015F" w:rsidRPr="00BA015F" w:rsidRDefault="00BA015F" w:rsidP="00BA015F">
      <w:pPr>
        <w:numPr>
          <w:ilvl w:val="0"/>
          <w:numId w:val="7"/>
        </w:numPr>
        <w:spacing w:before="100" w:beforeAutospacing="1" w:after="120" w:line="240" w:lineRule="auto"/>
        <w:rPr>
          <w:rFonts w:ascii="Times New Roman" w:eastAsia="Times New Roman" w:hAnsi="Times New Roman" w:cs="Times New Roman"/>
          <w:sz w:val="24"/>
          <w:szCs w:val="24"/>
        </w:rPr>
      </w:pPr>
      <w:r w:rsidRPr="00BA015F">
        <w:rPr>
          <w:rFonts w:ascii="Maiandra GD" w:eastAsia="Times New Roman" w:hAnsi="Maiandra GD" w:cs="Times New Roman"/>
          <w:b/>
          <w:bCs/>
          <w:sz w:val="24"/>
          <w:szCs w:val="24"/>
        </w:rPr>
        <w:t>WLA</w:t>
      </w:r>
      <w:r w:rsidRPr="00BA015F">
        <w:rPr>
          <w:rFonts w:ascii="Maiandra GD" w:eastAsia="Times New Roman" w:hAnsi="Maiandra GD" w:cs="Times New Roman"/>
          <w:sz w:val="24"/>
          <w:szCs w:val="24"/>
        </w:rPr>
        <w:t xml:space="preserve">:  Encourage your Utilities/Labs to join the </w:t>
      </w:r>
      <w:r w:rsidRPr="00BA015F">
        <w:rPr>
          <w:rFonts w:ascii="Maiandra GD" w:eastAsia="Times New Roman" w:hAnsi="Maiandra GD" w:cs="Times New Roman"/>
          <w:b/>
          <w:bCs/>
          <w:sz w:val="24"/>
          <w:szCs w:val="24"/>
        </w:rPr>
        <w:t>Water Laboratory Alliance (WLA).</w:t>
      </w:r>
      <w:r w:rsidRPr="00BA015F">
        <w:rPr>
          <w:rFonts w:ascii="Maiandra GD" w:eastAsia="Times New Roman" w:hAnsi="Maiandra GD" w:cs="Times New Roman"/>
          <w:sz w:val="24"/>
          <w:szCs w:val="24"/>
        </w:rPr>
        <w:t xml:space="preserve">   The WLA is a nationwide network of laboratories that serves the water sector, and is a part of the Environmental Response Laboratory Network (ERLN).    WLA membership provides: </w:t>
      </w:r>
    </w:p>
    <w:p w:rsidR="00BA015F" w:rsidRPr="00BA015F" w:rsidRDefault="00BA015F" w:rsidP="00BA015F">
      <w:pPr>
        <w:numPr>
          <w:ilvl w:val="0"/>
          <w:numId w:val="8"/>
        </w:numPr>
        <w:spacing w:after="100" w:afterAutospacing="1" w:line="240" w:lineRule="auto"/>
        <w:ind w:left="1440"/>
        <w:rPr>
          <w:rFonts w:ascii="Times New Roman" w:eastAsia="Times New Roman" w:hAnsi="Times New Roman" w:cs="Times New Roman"/>
          <w:sz w:val="24"/>
          <w:szCs w:val="24"/>
        </w:rPr>
      </w:pPr>
    </w:p>
    <w:p w:rsidR="00BA015F" w:rsidRPr="00BA015F" w:rsidRDefault="00BA015F" w:rsidP="00BA015F">
      <w:pPr>
        <w:numPr>
          <w:ilvl w:val="1"/>
          <w:numId w:val="8"/>
        </w:numPr>
        <w:spacing w:before="100" w:beforeAutospacing="1" w:after="120" w:line="240" w:lineRule="auto"/>
        <w:rPr>
          <w:rFonts w:ascii="Times New Roman" w:eastAsia="Times New Roman" w:hAnsi="Times New Roman" w:cs="Times New Roman"/>
          <w:sz w:val="24"/>
          <w:szCs w:val="24"/>
        </w:rPr>
      </w:pPr>
      <w:r w:rsidRPr="00BA015F">
        <w:rPr>
          <w:rFonts w:ascii="Maiandra GD" w:eastAsia="Times New Roman" w:hAnsi="Maiandra GD" w:cs="Times New Roman"/>
          <w:sz w:val="24"/>
          <w:szCs w:val="24"/>
        </w:rPr>
        <w:t>Communications with laboratories, state and municipal agencies and reporting authorities</w:t>
      </w:r>
    </w:p>
    <w:p w:rsidR="00BA015F" w:rsidRPr="00BA015F" w:rsidRDefault="00BA015F" w:rsidP="00BA015F">
      <w:pPr>
        <w:numPr>
          <w:ilvl w:val="1"/>
          <w:numId w:val="8"/>
        </w:numPr>
        <w:spacing w:before="100" w:beforeAutospacing="1" w:after="120" w:line="240" w:lineRule="auto"/>
        <w:rPr>
          <w:rFonts w:ascii="Times New Roman" w:eastAsia="Times New Roman" w:hAnsi="Times New Roman" w:cs="Times New Roman"/>
          <w:sz w:val="24"/>
          <w:szCs w:val="24"/>
        </w:rPr>
      </w:pPr>
      <w:r w:rsidRPr="00BA015F">
        <w:rPr>
          <w:rFonts w:ascii="Maiandra GD" w:eastAsia="Times New Roman" w:hAnsi="Maiandra GD" w:cs="Times New Roman"/>
          <w:sz w:val="24"/>
          <w:szCs w:val="24"/>
        </w:rPr>
        <w:t>Access to water-security related tools and resources</w:t>
      </w:r>
    </w:p>
    <w:p w:rsidR="00BA015F" w:rsidRPr="00BA015F" w:rsidRDefault="00BA015F" w:rsidP="00BA015F">
      <w:pPr>
        <w:numPr>
          <w:ilvl w:val="1"/>
          <w:numId w:val="8"/>
        </w:numPr>
        <w:spacing w:before="100" w:beforeAutospacing="1" w:after="120" w:line="240" w:lineRule="auto"/>
        <w:rPr>
          <w:rFonts w:ascii="Times New Roman" w:eastAsia="Times New Roman" w:hAnsi="Times New Roman" w:cs="Times New Roman"/>
          <w:sz w:val="24"/>
          <w:szCs w:val="24"/>
        </w:rPr>
      </w:pPr>
      <w:r w:rsidRPr="00BA015F">
        <w:rPr>
          <w:rFonts w:ascii="Maiandra GD" w:eastAsia="Times New Roman" w:hAnsi="Maiandra GD" w:cs="Times New Roman"/>
          <w:sz w:val="24"/>
          <w:szCs w:val="24"/>
        </w:rPr>
        <w:t>Additional WLA information can be found at:</w:t>
      </w:r>
    </w:p>
    <w:p w:rsidR="00BA015F" w:rsidRPr="00BA015F" w:rsidRDefault="00BA015F" w:rsidP="00BA015F">
      <w:pPr>
        <w:numPr>
          <w:ilvl w:val="0"/>
          <w:numId w:val="9"/>
        </w:numPr>
        <w:spacing w:after="100" w:afterAutospacing="1" w:line="240" w:lineRule="auto"/>
        <w:ind w:left="1440"/>
        <w:rPr>
          <w:rFonts w:ascii="Times New Roman" w:eastAsia="Times New Roman" w:hAnsi="Times New Roman" w:cs="Times New Roman"/>
          <w:sz w:val="24"/>
          <w:szCs w:val="24"/>
        </w:rPr>
      </w:pPr>
    </w:p>
    <w:p w:rsidR="00BA015F" w:rsidRPr="00BA015F" w:rsidRDefault="00BA015F" w:rsidP="00BA015F">
      <w:pPr>
        <w:numPr>
          <w:ilvl w:val="1"/>
          <w:numId w:val="9"/>
        </w:numPr>
        <w:spacing w:after="100" w:afterAutospacing="1" w:line="240" w:lineRule="auto"/>
        <w:ind w:left="2160"/>
        <w:rPr>
          <w:rFonts w:ascii="Times New Roman" w:eastAsia="Times New Roman" w:hAnsi="Times New Roman" w:cs="Times New Roman"/>
          <w:sz w:val="24"/>
          <w:szCs w:val="24"/>
        </w:rPr>
      </w:pPr>
    </w:p>
    <w:p w:rsidR="00BA015F" w:rsidRPr="00BA015F" w:rsidRDefault="00BA015F" w:rsidP="00BA015F">
      <w:pPr>
        <w:numPr>
          <w:ilvl w:val="2"/>
          <w:numId w:val="9"/>
        </w:numPr>
        <w:spacing w:before="100" w:beforeAutospacing="1" w:after="120" w:line="240" w:lineRule="auto"/>
        <w:rPr>
          <w:rFonts w:ascii="Times New Roman" w:eastAsia="Times New Roman" w:hAnsi="Times New Roman" w:cs="Times New Roman"/>
          <w:sz w:val="24"/>
          <w:szCs w:val="24"/>
        </w:rPr>
      </w:pPr>
      <w:hyperlink r:id="rId9" w:history="1">
        <w:r w:rsidRPr="00BA015F">
          <w:rPr>
            <w:rFonts w:ascii="Maiandra GD" w:eastAsia="Times New Roman" w:hAnsi="Maiandra GD" w:cs="Times New Roman"/>
            <w:color w:val="0000FF"/>
            <w:sz w:val="24"/>
            <w:szCs w:val="24"/>
            <w:u w:val="single"/>
          </w:rPr>
          <w:t>https://www.epa.gov/waterlabnetwork</w:t>
        </w:r>
      </w:hyperlink>
    </w:p>
    <w:p w:rsidR="00BA015F" w:rsidRPr="00BA015F" w:rsidRDefault="00BA015F" w:rsidP="00BA015F">
      <w:pPr>
        <w:numPr>
          <w:ilvl w:val="0"/>
          <w:numId w:val="10"/>
        </w:numPr>
        <w:spacing w:after="100" w:afterAutospacing="1" w:line="240" w:lineRule="auto"/>
        <w:ind w:left="1440"/>
        <w:rPr>
          <w:rFonts w:ascii="Times New Roman" w:eastAsia="Times New Roman" w:hAnsi="Times New Roman" w:cs="Times New Roman"/>
          <w:sz w:val="24"/>
          <w:szCs w:val="24"/>
        </w:rPr>
      </w:pPr>
    </w:p>
    <w:p w:rsidR="00BA015F" w:rsidRPr="00BA015F" w:rsidRDefault="00BA015F" w:rsidP="00BA015F">
      <w:pPr>
        <w:numPr>
          <w:ilvl w:val="1"/>
          <w:numId w:val="10"/>
        </w:numPr>
        <w:spacing w:before="100" w:beforeAutospacing="1" w:after="120" w:line="240" w:lineRule="auto"/>
        <w:rPr>
          <w:rFonts w:ascii="Times New Roman" w:eastAsia="Times New Roman" w:hAnsi="Times New Roman" w:cs="Times New Roman"/>
          <w:sz w:val="24"/>
          <w:szCs w:val="24"/>
        </w:rPr>
      </w:pPr>
      <w:r w:rsidRPr="00BA015F">
        <w:rPr>
          <w:rFonts w:ascii="Maiandra GD" w:eastAsia="Times New Roman" w:hAnsi="Maiandra GD" w:cs="Times New Roman"/>
          <w:sz w:val="24"/>
          <w:szCs w:val="24"/>
        </w:rPr>
        <w:t>ERLN Overview/Fact Sheet can be found at:  (note:  links in file are outdated – but other information valid):</w:t>
      </w:r>
    </w:p>
    <w:p w:rsidR="00BA015F" w:rsidRPr="00BA015F" w:rsidRDefault="00BA015F" w:rsidP="00BA015F">
      <w:pPr>
        <w:numPr>
          <w:ilvl w:val="0"/>
          <w:numId w:val="11"/>
        </w:numPr>
        <w:spacing w:after="100" w:afterAutospacing="1" w:line="240" w:lineRule="auto"/>
        <w:ind w:left="1440"/>
        <w:rPr>
          <w:rFonts w:ascii="Times New Roman" w:eastAsia="Times New Roman" w:hAnsi="Times New Roman" w:cs="Times New Roman"/>
          <w:sz w:val="24"/>
          <w:szCs w:val="24"/>
        </w:rPr>
      </w:pPr>
    </w:p>
    <w:p w:rsidR="00BA015F" w:rsidRPr="00BA015F" w:rsidRDefault="00BA015F" w:rsidP="00BA015F">
      <w:pPr>
        <w:numPr>
          <w:ilvl w:val="1"/>
          <w:numId w:val="11"/>
        </w:numPr>
        <w:spacing w:after="100" w:afterAutospacing="1" w:line="240" w:lineRule="auto"/>
        <w:ind w:left="2160"/>
        <w:rPr>
          <w:rFonts w:ascii="Times New Roman" w:eastAsia="Times New Roman" w:hAnsi="Times New Roman" w:cs="Times New Roman"/>
          <w:sz w:val="24"/>
          <w:szCs w:val="24"/>
        </w:rPr>
      </w:pPr>
    </w:p>
    <w:p w:rsidR="00BA015F" w:rsidRPr="00BA015F" w:rsidRDefault="00BA015F" w:rsidP="00BA015F">
      <w:pPr>
        <w:numPr>
          <w:ilvl w:val="2"/>
          <w:numId w:val="11"/>
        </w:numPr>
        <w:spacing w:before="100" w:beforeAutospacing="1" w:after="120" w:line="240" w:lineRule="auto"/>
        <w:rPr>
          <w:rFonts w:ascii="Times New Roman" w:eastAsia="Times New Roman" w:hAnsi="Times New Roman" w:cs="Times New Roman"/>
          <w:sz w:val="24"/>
          <w:szCs w:val="24"/>
        </w:rPr>
      </w:pPr>
      <w:hyperlink r:id="rId10" w:history="1">
        <w:r w:rsidRPr="00BA015F">
          <w:rPr>
            <w:rFonts w:ascii="Maiandra GD" w:eastAsia="Times New Roman" w:hAnsi="Maiandra GD" w:cs="Times New Roman"/>
            <w:color w:val="0000FF"/>
            <w:sz w:val="24"/>
            <w:szCs w:val="24"/>
            <w:u w:val="single"/>
          </w:rPr>
          <w:t>https://www.epa.gov/sites/production/files/documents/erln_general_fs.pdf</w:t>
        </w:r>
      </w:hyperlink>
    </w:p>
    <w:p w:rsidR="00BA015F" w:rsidRPr="00BA015F" w:rsidRDefault="00BA015F" w:rsidP="00BA015F">
      <w:pPr>
        <w:numPr>
          <w:ilvl w:val="0"/>
          <w:numId w:val="12"/>
        </w:numPr>
        <w:spacing w:before="100" w:beforeAutospacing="1" w:after="120" w:line="240" w:lineRule="auto"/>
        <w:rPr>
          <w:rFonts w:ascii="Times New Roman" w:eastAsia="Times New Roman" w:hAnsi="Times New Roman" w:cs="Times New Roman"/>
          <w:sz w:val="24"/>
          <w:szCs w:val="24"/>
        </w:rPr>
      </w:pPr>
      <w:r w:rsidRPr="00BA015F">
        <w:rPr>
          <w:rFonts w:ascii="Maiandra GD" w:eastAsia="Times New Roman" w:hAnsi="Maiandra GD" w:cs="Times New Roman"/>
          <w:b/>
          <w:bCs/>
          <w:sz w:val="24"/>
          <w:szCs w:val="24"/>
        </w:rPr>
        <w:t>Basic Ordering Agreements</w:t>
      </w:r>
      <w:r w:rsidRPr="00BA015F">
        <w:rPr>
          <w:rFonts w:ascii="Maiandra GD" w:eastAsia="Times New Roman" w:hAnsi="Maiandra GD" w:cs="Times New Roman"/>
          <w:sz w:val="24"/>
          <w:szCs w:val="24"/>
        </w:rPr>
        <w:t>: EPA’s Office of Acquisition Solutions (OAS) announced an opportunity for ERLN members (i.e. – WLA members) to establish new or updated Basic Ordering Agreements (BOAs) that could be used as a vehicle to reimburse labs for assistance rendered under the WLA umbrella. A BOA is not a contract, as referenced in FAR Part 16.703; it is a written instrument of understanding, negotiated between an agency (e.g. – EPA)</w:t>
      </w:r>
      <w:proofErr w:type="gramStart"/>
      <w:r w:rsidRPr="00BA015F">
        <w:rPr>
          <w:rFonts w:ascii="Maiandra GD" w:eastAsia="Times New Roman" w:hAnsi="Maiandra GD" w:cs="Times New Roman"/>
          <w:sz w:val="24"/>
          <w:szCs w:val="24"/>
        </w:rPr>
        <w:t>  and</w:t>
      </w:r>
      <w:proofErr w:type="gramEnd"/>
      <w:r w:rsidRPr="00BA015F">
        <w:rPr>
          <w:rFonts w:ascii="Maiandra GD" w:eastAsia="Times New Roman" w:hAnsi="Maiandra GD" w:cs="Times New Roman"/>
          <w:sz w:val="24"/>
          <w:szCs w:val="24"/>
        </w:rPr>
        <w:t xml:space="preserve"> a contractor (e.g. – WLA lab).</w:t>
      </w:r>
    </w:p>
    <w:p w:rsidR="00BA015F" w:rsidRPr="00BA015F" w:rsidRDefault="00BA015F" w:rsidP="00BA015F">
      <w:pPr>
        <w:numPr>
          <w:ilvl w:val="0"/>
          <w:numId w:val="13"/>
        </w:numPr>
        <w:spacing w:after="100" w:afterAutospacing="1" w:line="240" w:lineRule="auto"/>
        <w:ind w:left="1440"/>
        <w:rPr>
          <w:rFonts w:ascii="Times New Roman" w:eastAsia="Times New Roman" w:hAnsi="Times New Roman" w:cs="Times New Roman"/>
          <w:sz w:val="24"/>
          <w:szCs w:val="24"/>
        </w:rPr>
      </w:pPr>
    </w:p>
    <w:p w:rsidR="00BA015F" w:rsidRPr="00BA015F" w:rsidRDefault="00BA015F" w:rsidP="00BA015F">
      <w:pPr>
        <w:numPr>
          <w:ilvl w:val="1"/>
          <w:numId w:val="13"/>
        </w:numPr>
        <w:spacing w:before="100" w:beforeAutospacing="1" w:after="120" w:line="240" w:lineRule="auto"/>
        <w:rPr>
          <w:rFonts w:ascii="Times New Roman" w:eastAsia="Times New Roman" w:hAnsi="Times New Roman" w:cs="Times New Roman"/>
          <w:sz w:val="24"/>
          <w:szCs w:val="24"/>
        </w:rPr>
      </w:pPr>
      <w:r w:rsidRPr="00BA015F">
        <w:rPr>
          <w:rFonts w:ascii="Maiandra GD" w:eastAsia="Times New Roman" w:hAnsi="Maiandra GD" w:cs="Times New Roman"/>
          <w:sz w:val="24"/>
          <w:szCs w:val="24"/>
        </w:rPr>
        <w:t xml:space="preserve">The open window for applications is through June 29, 2020 at 3:00 pm EDT.   </w:t>
      </w:r>
    </w:p>
    <w:p w:rsidR="00BA015F" w:rsidRPr="00BA015F" w:rsidRDefault="00BA015F" w:rsidP="00BA015F">
      <w:pPr>
        <w:numPr>
          <w:ilvl w:val="1"/>
          <w:numId w:val="13"/>
        </w:numPr>
        <w:spacing w:before="100" w:beforeAutospacing="1" w:after="120" w:line="240" w:lineRule="auto"/>
        <w:rPr>
          <w:rFonts w:ascii="Times New Roman" w:eastAsia="Times New Roman" w:hAnsi="Times New Roman" w:cs="Times New Roman"/>
          <w:sz w:val="24"/>
          <w:szCs w:val="24"/>
        </w:rPr>
      </w:pPr>
      <w:r w:rsidRPr="00BA015F">
        <w:rPr>
          <w:rFonts w:ascii="Maiandra GD" w:eastAsia="Times New Roman" w:hAnsi="Maiandra GD" w:cs="Times New Roman"/>
          <w:sz w:val="24"/>
          <w:szCs w:val="24"/>
        </w:rPr>
        <w:t>The application process takes some time (30 +/- days) for vetting/approval – so we encourage WLA members to start the BOA application process as soon as possible – so that it can be in place before needed.</w:t>
      </w:r>
    </w:p>
    <w:p w:rsidR="00BA015F" w:rsidRPr="00BA015F" w:rsidRDefault="00BA015F" w:rsidP="00BA015F">
      <w:pPr>
        <w:numPr>
          <w:ilvl w:val="1"/>
          <w:numId w:val="13"/>
        </w:numPr>
        <w:spacing w:before="100" w:beforeAutospacing="1" w:after="120" w:line="240" w:lineRule="auto"/>
        <w:rPr>
          <w:rFonts w:ascii="Times New Roman" w:eastAsia="Times New Roman" w:hAnsi="Times New Roman" w:cs="Times New Roman"/>
          <w:sz w:val="24"/>
          <w:szCs w:val="24"/>
        </w:rPr>
      </w:pPr>
      <w:r w:rsidRPr="00BA015F">
        <w:rPr>
          <w:rFonts w:ascii="Maiandra GD" w:eastAsia="Times New Roman" w:hAnsi="Maiandra GD" w:cs="Times New Roman"/>
          <w:sz w:val="24"/>
          <w:szCs w:val="24"/>
        </w:rPr>
        <w:lastRenderedPageBreak/>
        <w:t>EPA does not have the funding – that would have to come from another entity.</w:t>
      </w:r>
    </w:p>
    <w:p w:rsidR="00BA015F" w:rsidRPr="00BA015F" w:rsidRDefault="00BA015F" w:rsidP="00BA015F">
      <w:pPr>
        <w:numPr>
          <w:ilvl w:val="1"/>
          <w:numId w:val="13"/>
        </w:numPr>
        <w:spacing w:before="100" w:beforeAutospacing="1" w:after="120" w:line="240" w:lineRule="auto"/>
        <w:rPr>
          <w:rFonts w:ascii="Times New Roman" w:eastAsia="Times New Roman" w:hAnsi="Times New Roman" w:cs="Times New Roman"/>
          <w:sz w:val="24"/>
          <w:szCs w:val="24"/>
        </w:rPr>
      </w:pPr>
      <w:r w:rsidRPr="00BA015F">
        <w:rPr>
          <w:rFonts w:ascii="Maiandra GD" w:eastAsia="Times New Roman" w:hAnsi="Maiandra GD" w:cs="Times New Roman"/>
          <w:sz w:val="24"/>
          <w:szCs w:val="24"/>
        </w:rPr>
        <w:t>We encourage States to coordinate with utilities, labs, and water sector support partners (e.g. – RWA, AWWA, WARN) to disseminate information on this opportunity.</w:t>
      </w:r>
    </w:p>
    <w:p w:rsidR="00BA015F" w:rsidRPr="00BA015F" w:rsidRDefault="00BA015F" w:rsidP="00BA015F">
      <w:pPr>
        <w:numPr>
          <w:ilvl w:val="1"/>
          <w:numId w:val="13"/>
        </w:numPr>
        <w:spacing w:before="100" w:beforeAutospacing="1" w:after="120" w:line="240" w:lineRule="auto"/>
        <w:rPr>
          <w:rFonts w:ascii="Times New Roman" w:eastAsia="Times New Roman" w:hAnsi="Times New Roman" w:cs="Times New Roman"/>
          <w:sz w:val="24"/>
          <w:szCs w:val="24"/>
        </w:rPr>
      </w:pPr>
      <w:r w:rsidRPr="00BA015F">
        <w:rPr>
          <w:rFonts w:ascii="Maiandra GD" w:eastAsia="Times New Roman" w:hAnsi="Maiandra GD" w:cs="Times New Roman"/>
          <w:sz w:val="24"/>
          <w:szCs w:val="24"/>
        </w:rPr>
        <w:t>Information can be found at:</w:t>
      </w:r>
    </w:p>
    <w:p w:rsidR="00BA015F" w:rsidRPr="00BA015F" w:rsidRDefault="00BA015F" w:rsidP="00BA015F">
      <w:pPr>
        <w:numPr>
          <w:ilvl w:val="0"/>
          <w:numId w:val="14"/>
        </w:numPr>
        <w:spacing w:after="100" w:afterAutospacing="1" w:line="240" w:lineRule="auto"/>
        <w:ind w:left="1440"/>
        <w:rPr>
          <w:rFonts w:ascii="Times New Roman" w:eastAsia="Times New Roman" w:hAnsi="Times New Roman" w:cs="Times New Roman"/>
          <w:sz w:val="24"/>
          <w:szCs w:val="24"/>
        </w:rPr>
      </w:pPr>
    </w:p>
    <w:p w:rsidR="00BA015F" w:rsidRPr="00BA015F" w:rsidRDefault="00BA015F" w:rsidP="00BA015F">
      <w:pPr>
        <w:numPr>
          <w:ilvl w:val="1"/>
          <w:numId w:val="14"/>
        </w:numPr>
        <w:spacing w:after="100" w:afterAutospacing="1" w:line="240" w:lineRule="auto"/>
        <w:ind w:left="2160"/>
        <w:rPr>
          <w:rFonts w:ascii="Times New Roman" w:eastAsia="Times New Roman" w:hAnsi="Times New Roman" w:cs="Times New Roman"/>
          <w:sz w:val="24"/>
          <w:szCs w:val="24"/>
        </w:rPr>
      </w:pPr>
    </w:p>
    <w:p w:rsidR="00BA015F" w:rsidRPr="00BA015F" w:rsidRDefault="00BA015F" w:rsidP="00BA015F">
      <w:pPr>
        <w:numPr>
          <w:ilvl w:val="2"/>
          <w:numId w:val="14"/>
        </w:numPr>
        <w:spacing w:before="100" w:beforeAutospacing="1" w:after="120" w:line="240" w:lineRule="auto"/>
        <w:rPr>
          <w:rFonts w:ascii="Times New Roman" w:eastAsia="Times New Roman" w:hAnsi="Times New Roman" w:cs="Times New Roman"/>
          <w:sz w:val="24"/>
          <w:szCs w:val="24"/>
        </w:rPr>
      </w:pPr>
      <w:hyperlink r:id="rId11" w:history="1">
        <w:r w:rsidRPr="00BA015F">
          <w:rPr>
            <w:rFonts w:ascii="Maiandra GD" w:eastAsia="Times New Roman" w:hAnsi="Maiandra GD" w:cs="Times New Roman"/>
            <w:color w:val="0000FF"/>
            <w:sz w:val="24"/>
            <w:szCs w:val="24"/>
            <w:u w:val="single"/>
          </w:rPr>
          <w:t>https://beta.sam.gov/opp/0ba79321c4c24d95823a6be0c7fb8d0b/view?keywords=erln&amp;sort=-relevance&amp;index=&amp;is_active=true&amp;page=1</w:t>
        </w:r>
      </w:hyperlink>
    </w:p>
    <w:p w:rsidR="00BA015F" w:rsidRPr="00BA015F" w:rsidRDefault="00BA015F" w:rsidP="00BA015F">
      <w:pPr>
        <w:numPr>
          <w:ilvl w:val="2"/>
          <w:numId w:val="14"/>
        </w:numPr>
        <w:spacing w:before="100" w:beforeAutospacing="1" w:after="120" w:line="240" w:lineRule="auto"/>
        <w:rPr>
          <w:rFonts w:ascii="Times New Roman" w:eastAsia="Times New Roman" w:hAnsi="Times New Roman" w:cs="Times New Roman"/>
          <w:sz w:val="24"/>
          <w:szCs w:val="24"/>
        </w:rPr>
      </w:pPr>
      <w:hyperlink r:id="rId12" w:history="1">
        <w:r w:rsidRPr="00BA015F">
          <w:rPr>
            <w:rFonts w:ascii="Maiandra GD" w:eastAsia="Times New Roman" w:hAnsi="Maiandra GD" w:cs="Times New Roman"/>
            <w:color w:val="0000FF"/>
            <w:sz w:val="24"/>
            <w:szCs w:val="24"/>
            <w:u w:val="single"/>
          </w:rPr>
          <w:t>https://www.fedconnect.net/FedConnect/default.aspx?ReturnUrl=%2fFedConnect%2f%3fdoc%3d68HERH20Q0073%26agency%3dEPA&amp;doc=68HERH20Q0073&amp;agency=EPA</w:t>
        </w:r>
      </w:hyperlink>
    </w:p>
    <w:p w:rsidR="00BA015F" w:rsidRPr="00BA015F" w:rsidRDefault="00BA015F" w:rsidP="00BA015F">
      <w:pPr>
        <w:numPr>
          <w:ilvl w:val="0"/>
          <w:numId w:val="15"/>
        </w:numPr>
        <w:spacing w:before="100" w:beforeAutospacing="1" w:after="120" w:line="240" w:lineRule="auto"/>
        <w:rPr>
          <w:rFonts w:ascii="Times New Roman" w:eastAsia="Times New Roman" w:hAnsi="Times New Roman" w:cs="Times New Roman"/>
          <w:sz w:val="24"/>
          <w:szCs w:val="24"/>
        </w:rPr>
      </w:pPr>
      <w:r w:rsidRPr="00BA015F">
        <w:rPr>
          <w:rFonts w:ascii="Maiandra GD" w:eastAsia="Times New Roman" w:hAnsi="Maiandra GD" w:cs="Times New Roman"/>
          <w:b/>
          <w:bCs/>
          <w:sz w:val="24"/>
          <w:szCs w:val="24"/>
        </w:rPr>
        <w:t>WLA Liaison:</w:t>
      </w:r>
      <w:r w:rsidRPr="00BA015F">
        <w:rPr>
          <w:rFonts w:ascii="Maiandra GD" w:eastAsia="Times New Roman" w:hAnsi="Maiandra GD" w:cs="Times New Roman"/>
          <w:sz w:val="24"/>
          <w:szCs w:val="24"/>
        </w:rPr>
        <w:t>  We encourage State primacy agencies to register as a WLA “Liaison” for their state.  To becoming a WLA Liaison, or nominate a colleague, please get in touch with EPA WLA representative via either:</w:t>
      </w:r>
    </w:p>
    <w:p w:rsidR="00BA015F" w:rsidRPr="00BA015F" w:rsidRDefault="00BA015F" w:rsidP="00BA015F">
      <w:pPr>
        <w:numPr>
          <w:ilvl w:val="0"/>
          <w:numId w:val="16"/>
        </w:numPr>
        <w:spacing w:after="100" w:afterAutospacing="1" w:line="240" w:lineRule="auto"/>
        <w:ind w:left="1440"/>
        <w:rPr>
          <w:rFonts w:ascii="Times New Roman" w:eastAsia="Times New Roman" w:hAnsi="Times New Roman" w:cs="Times New Roman"/>
          <w:sz w:val="24"/>
          <w:szCs w:val="24"/>
        </w:rPr>
      </w:pPr>
    </w:p>
    <w:p w:rsidR="00BA015F" w:rsidRPr="00BA015F" w:rsidRDefault="00BA015F" w:rsidP="00BA015F">
      <w:pPr>
        <w:numPr>
          <w:ilvl w:val="1"/>
          <w:numId w:val="16"/>
        </w:numPr>
        <w:spacing w:before="100" w:beforeAutospacing="1" w:after="120" w:line="240" w:lineRule="auto"/>
        <w:rPr>
          <w:rFonts w:ascii="Times New Roman" w:eastAsia="Times New Roman" w:hAnsi="Times New Roman" w:cs="Times New Roman"/>
          <w:sz w:val="24"/>
          <w:szCs w:val="24"/>
        </w:rPr>
      </w:pPr>
      <w:r w:rsidRPr="00BA015F">
        <w:rPr>
          <w:rFonts w:ascii="Maiandra GD" w:eastAsia="Times New Roman" w:hAnsi="Maiandra GD" w:cs="Times New Roman"/>
          <w:sz w:val="24"/>
          <w:szCs w:val="24"/>
        </w:rPr>
        <w:t xml:space="preserve">Email:                                    </w:t>
      </w:r>
      <w:hyperlink r:id="rId13" w:history="1">
        <w:r w:rsidRPr="00BA015F">
          <w:rPr>
            <w:rFonts w:ascii="Maiandra GD" w:eastAsia="Times New Roman" w:hAnsi="Maiandra GD" w:cs="Times New Roman"/>
            <w:color w:val="0000FF"/>
            <w:sz w:val="24"/>
            <w:szCs w:val="24"/>
            <w:u w:val="single"/>
          </w:rPr>
          <w:t>WLA@epa.gov</w:t>
        </w:r>
      </w:hyperlink>
      <w:r w:rsidRPr="00BA015F">
        <w:rPr>
          <w:rFonts w:ascii="Maiandra GD" w:eastAsia="Times New Roman" w:hAnsi="Maiandra GD" w:cs="Times New Roman"/>
          <w:sz w:val="24"/>
          <w:szCs w:val="24"/>
        </w:rPr>
        <w:t xml:space="preserve"> </w:t>
      </w:r>
    </w:p>
    <w:p w:rsidR="00BA015F" w:rsidRPr="00BA015F" w:rsidRDefault="00BA015F" w:rsidP="00BA015F">
      <w:pPr>
        <w:numPr>
          <w:ilvl w:val="1"/>
          <w:numId w:val="16"/>
        </w:numPr>
        <w:spacing w:before="100" w:beforeAutospacing="1" w:after="120" w:line="240" w:lineRule="auto"/>
        <w:rPr>
          <w:rFonts w:ascii="Times New Roman" w:eastAsia="Times New Roman" w:hAnsi="Times New Roman" w:cs="Times New Roman"/>
          <w:sz w:val="24"/>
          <w:szCs w:val="24"/>
        </w:rPr>
      </w:pPr>
      <w:r w:rsidRPr="00BA015F">
        <w:rPr>
          <w:rFonts w:ascii="Maiandra GD" w:eastAsia="Times New Roman" w:hAnsi="Maiandra GD" w:cs="Times New Roman"/>
          <w:sz w:val="24"/>
          <w:szCs w:val="24"/>
        </w:rPr>
        <w:t>WLA Helpline:                     (703) 461-2400</w:t>
      </w:r>
    </w:p>
    <w:p w:rsidR="00BA015F" w:rsidRPr="00BA015F" w:rsidRDefault="00BA015F" w:rsidP="00BA015F">
      <w:pPr>
        <w:numPr>
          <w:ilvl w:val="0"/>
          <w:numId w:val="17"/>
        </w:numPr>
        <w:spacing w:before="100" w:beforeAutospacing="1" w:after="120" w:line="240" w:lineRule="auto"/>
        <w:rPr>
          <w:rFonts w:ascii="Times New Roman" w:eastAsia="Times New Roman" w:hAnsi="Times New Roman" w:cs="Times New Roman"/>
          <w:sz w:val="24"/>
          <w:szCs w:val="24"/>
        </w:rPr>
      </w:pPr>
      <w:r w:rsidRPr="00BA015F">
        <w:rPr>
          <w:rFonts w:ascii="Maiandra GD" w:eastAsia="Times New Roman" w:hAnsi="Maiandra GD" w:cs="Times New Roman"/>
          <w:b/>
          <w:bCs/>
          <w:sz w:val="24"/>
          <w:szCs w:val="24"/>
        </w:rPr>
        <w:t xml:space="preserve">Compendium of Environmental Testing Laboratories (Laboratory Compendium):  </w:t>
      </w:r>
      <w:r w:rsidRPr="00BA015F">
        <w:rPr>
          <w:rFonts w:ascii="Maiandra GD" w:eastAsia="Times New Roman" w:hAnsi="Maiandra GD" w:cs="Times New Roman"/>
          <w:sz w:val="24"/>
          <w:szCs w:val="24"/>
        </w:rPr>
        <w:t>The Laboratory Compendium is a secure web-based network which identifies laboratories with the capability and capacity to analyze chemical, biological, and radiochemical agents. This network has been established to provide emergency responders with an efficient mechanism to obtain essential laboratory capability and capacity information during emergency situations, such as response to acts of terrorism.</w:t>
      </w:r>
    </w:p>
    <w:p w:rsidR="00BA015F" w:rsidRPr="00BA015F" w:rsidRDefault="00BA015F" w:rsidP="00BA015F">
      <w:pPr>
        <w:numPr>
          <w:ilvl w:val="0"/>
          <w:numId w:val="18"/>
        </w:numPr>
        <w:spacing w:after="100" w:afterAutospacing="1" w:line="240" w:lineRule="auto"/>
        <w:ind w:left="1440"/>
        <w:rPr>
          <w:rFonts w:ascii="Times New Roman" w:eastAsia="Times New Roman" w:hAnsi="Times New Roman" w:cs="Times New Roman"/>
          <w:sz w:val="24"/>
          <w:szCs w:val="24"/>
        </w:rPr>
      </w:pPr>
    </w:p>
    <w:p w:rsidR="00BA015F" w:rsidRPr="00BA015F" w:rsidRDefault="00BA015F" w:rsidP="00BA015F">
      <w:pPr>
        <w:numPr>
          <w:ilvl w:val="1"/>
          <w:numId w:val="18"/>
        </w:numPr>
        <w:spacing w:before="100" w:beforeAutospacing="1" w:after="120" w:line="240" w:lineRule="auto"/>
        <w:rPr>
          <w:rFonts w:ascii="Times New Roman" w:eastAsia="Times New Roman" w:hAnsi="Times New Roman" w:cs="Times New Roman"/>
          <w:sz w:val="24"/>
          <w:szCs w:val="24"/>
        </w:rPr>
      </w:pPr>
      <w:r w:rsidRPr="00BA015F">
        <w:rPr>
          <w:rFonts w:ascii="Maiandra GD" w:eastAsia="Times New Roman" w:hAnsi="Maiandra GD" w:cs="Times New Roman"/>
          <w:sz w:val="24"/>
          <w:szCs w:val="24"/>
        </w:rPr>
        <w:t xml:space="preserve">States, utilities, and laboratories can register for access to the compendium </w:t>
      </w:r>
    </w:p>
    <w:p w:rsidR="00BA015F" w:rsidRPr="00BA015F" w:rsidRDefault="00BA015F" w:rsidP="00BA015F">
      <w:pPr>
        <w:numPr>
          <w:ilvl w:val="1"/>
          <w:numId w:val="18"/>
        </w:numPr>
        <w:spacing w:before="100" w:beforeAutospacing="1" w:after="120" w:line="240" w:lineRule="auto"/>
        <w:rPr>
          <w:rFonts w:ascii="Times New Roman" w:eastAsia="Times New Roman" w:hAnsi="Times New Roman" w:cs="Times New Roman"/>
          <w:sz w:val="24"/>
          <w:szCs w:val="24"/>
        </w:rPr>
      </w:pPr>
      <w:r w:rsidRPr="00BA015F">
        <w:rPr>
          <w:rFonts w:ascii="Maiandra GD" w:eastAsia="Times New Roman" w:hAnsi="Maiandra GD" w:cs="Times New Roman"/>
          <w:sz w:val="24"/>
          <w:szCs w:val="24"/>
        </w:rPr>
        <w:t>The vetting process for new registrants is typically 1-3 business days</w:t>
      </w:r>
    </w:p>
    <w:p w:rsidR="00BA015F" w:rsidRPr="00BA015F" w:rsidRDefault="00BA015F" w:rsidP="00BA015F">
      <w:pPr>
        <w:numPr>
          <w:ilvl w:val="1"/>
          <w:numId w:val="18"/>
        </w:numPr>
        <w:spacing w:before="100" w:beforeAutospacing="1" w:after="120" w:line="240" w:lineRule="auto"/>
        <w:rPr>
          <w:rFonts w:ascii="Times New Roman" w:eastAsia="Times New Roman" w:hAnsi="Times New Roman" w:cs="Times New Roman"/>
          <w:sz w:val="24"/>
          <w:szCs w:val="24"/>
        </w:rPr>
      </w:pPr>
      <w:r w:rsidRPr="00BA015F">
        <w:rPr>
          <w:rFonts w:ascii="Maiandra GD" w:eastAsia="Times New Roman" w:hAnsi="Maiandra GD" w:cs="Times New Roman"/>
          <w:sz w:val="24"/>
          <w:szCs w:val="24"/>
        </w:rPr>
        <w:t>We encourage States to coordinate with utilities, labs, and water sector support partners (e.g. – RWA, AWWA, WARN) to register for access to the Laboratory Compendium.</w:t>
      </w:r>
    </w:p>
    <w:p w:rsidR="00BA015F" w:rsidRPr="00BA015F" w:rsidRDefault="00BA015F" w:rsidP="00BA015F">
      <w:pPr>
        <w:numPr>
          <w:ilvl w:val="1"/>
          <w:numId w:val="18"/>
        </w:numPr>
        <w:spacing w:before="100" w:beforeAutospacing="1" w:after="120" w:line="240" w:lineRule="auto"/>
        <w:rPr>
          <w:rFonts w:ascii="Times New Roman" w:eastAsia="Times New Roman" w:hAnsi="Times New Roman" w:cs="Times New Roman"/>
          <w:sz w:val="24"/>
          <w:szCs w:val="24"/>
        </w:rPr>
      </w:pPr>
      <w:r w:rsidRPr="00BA015F">
        <w:rPr>
          <w:rFonts w:ascii="Maiandra GD" w:eastAsia="Times New Roman" w:hAnsi="Maiandra GD" w:cs="Times New Roman"/>
          <w:sz w:val="24"/>
          <w:szCs w:val="24"/>
        </w:rPr>
        <w:t>Laboratory Compendium fact sheet can be accessed at:</w:t>
      </w:r>
    </w:p>
    <w:p w:rsidR="00BA015F" w:rsidRPr="00BA015F" w:rsidRDefault="00BA015F" w:rsidP="00BA015F">
      <w:pPr>
        <w:numPr>
          <w:ilvl w:val="0"/>
          <w:numId w:val="19"/>
        </w:numPr>
        <w:spacing w:after="100" w:afterAutospacing="1" w:line="240" w:lineRule="auto"/>
        <w:ind w:left="1440"/>
        <w:rPr>
          <w:rFonts w:ascii="Times New Roman" w:eastAsia="Times New Roman" w:hAnsi="Times New Roman" w:cs="Times New Roman"/>
          <w:sz w:val="24"/>
          <w:szCs w:val="24"/>
        </w:rPr>
      </w:pPr>
    </w:p>
    <w:p w:rsidR="00BA015F" w:rsidRPr="00BA015F" w:rsidRDefault="00BA015F" w:rsidP="00BA015F">
      <w:pPr>
        <w:numPr>
          <w:ilvl w:val="1"/>
          <w:numId w:val="19"/>
        </w:numPr>
        <w:spacing w:after="100" w:afterAutospacing="1" w:line="240" w:lineRule="auto"/>
        <w:ind w:left="2160"/>
        <w:rPr>
          <w:rFonts w:ascii="Times New Roman" w:eastAsia="Times New Roman" w:hAnsi="Times New Roman" w:cs="Times New Roman"/>
          <w:sz w:val="24"/>
          <w:szCs w:val="24"/>
        </w:rPr>
      </w:pPr>
    </w:p>
    <w:p w:rsidR="00BA015F" w:rsidRPr="00BA015F" w:rsidRDefault="00BA015F" w:rsidP="00BA015F">
      <w:pPr>
        <w:numPr>
          <w:ilvl w:val="2"/>
          <w:numId w:val="19"/>
        </w:numPr>
        <w:spacing w:before="100" w:beforeAutospacing="1" w:after="120" w:line="240" w:lineRule="auto"/>
        <w:rPr>
          <w:rFonts w:ascii="Times New Roman" w:eastAsia="Times New Roman" w:hAnsi="Times New Roman" w:cs="Times New Roman"/>
          <w:sz w:val="24"/>
          <w:szCs w:val="24"/>
        </w:rPr>
      </w:pPr>
      <w:hyperlink r:id="rId14" w:history="1">
        <w:r w:rsidRPr="00BA015F">
          <w:rPr>
            <w:rFonts w:ascii="Maiandra GD" w:eastAsia="Times New Roman" w:hAnsi="Maiandra GD" w:cs="Times New Roman"/>
            <w:color w:val="0000FF"/>
            <w:sz w:val="24"/>
            <w:szCs w:val="24"/>
            <w:u w:val="single"/>
          </w:rPr>
          <w:t>https://www.epa.gov/sites/production/files/2018-06/documents/erln_compendium_factsheet_6-28-18.pdf</w:t>
        </w:r>
      </w:hyperlink>
    </w:p>
    <w:p w:rsidR="00BA015F" w:rsidRPr="00BA015F" w:rsidRDefault="00BA015F" w:rsidP="00BA015F">
      <w:pPr>
        <w:numPr>
          <w:ilvl w:val="0"/>
          <w:numId w:val="20"/>
        </w:numPr>
        <w:spacing w:after="100" w:afterAutospacing="1" w:line="240" w:lineRule="auto"/>
        <w:ind w:left="1440"/>
        <w:rPr>
          <w:rFonts w:ascii="Times New Roman" w:eastAsia="Times New Roman" w:hAnsi="Times New Roman" w:cs="Times New Roman"/>
          <w:sz w:val="24"/>
          <w:szCs w:val="24"/>
        </w:rPr>
      </w:pPr>
    </w:p>
    <w:p w:rsidR="00BA015F" w:rsidRPr="00BA015F" w:rsidRDefault="00BA015F" w:rsidP="00BA015F">
      <w:pPr>
        <w:numPr>
          <w:ilvl w:val="1"/>
          <w:numId w:val="20"/>
        </w:numPr>
        <w:spacing w:before="100" w:beforeAutospacing="1" w:after="120" w:line="240" w:lineRule="auto"/>
        <w:rPr>
          <w:rFonts w:ascii="Times New Roman" w:eastAsia="Times New Roman" w:hAnsi="Times New Roman" w:cs="Times New Roman"/>
          <w:sz w:val="24"/>
          <w:szCs w:val="24"/>
        </w:rPr>
      </w:pPr>
      <w:r w:rsidRPr="00BA015F">
        <w:rPr>
          <w:rFonts w:ascii="Maiandra GD" w:eastAsia="Times New Roman" w:hAnsi="Maiandra GD" w:cs="Times New Roman"/>
          <w:sz w:val="24"/>
          <w:szCs w:val="24"/>
        </w:rPr>
        <w:t>Laboratory Compendium can be accessed at the URL:</w:t>
      </w:r>
    </w:p>
    <w:p w:rsidR="00BA015F" w:rsidRPr="00BA015F" w:rsidRDefault="00BA015F" w:rsidP="00BA015F">
      <w:pPr>
        <w:numPr>
          <w:ilvl w:val="0"/>
          <w:numId w:val="21"/>
        </w:numPr>
        <w:spacing w:after="100" w:afterAutospacing="1" w:line="240" w:lineRule="auto"/>
        <w:ind w:left="1440"/>
        <w:rPr>
          <w:rFonts w:ascii="Times New Roman" w:eastAsia="Times New Roman" w:hAnsi="Times New Roman" w:cs="Times New Roman"/>
          <w:sz w:val="24"/>
          <w:szCs w:val="24"/>
        </w:rPr>
      </w:pPr>
    </w:p>
    <w:p w:rsidR="00BA015F" w:rsidRPr="00BA015F" w:rsidRDefault="00BA015F" w:rsidP="00BA015F">
      <w:pPr>
        <w:numPr>
          <w:ilvl w:val="1"/>
          <w:numId w:val="21"/>
        </w:numPr>
        <w:spacing w:after="100" w:afterAutospacing="1" w:line="240" w:lineRule="auto"/>
        <w:ind w:left="2160"/>
        <w:rPr>
          <w:rFonts w:ascii="Times New Roman" w:eastAsia="Times New Roman" w:hAnsi="Times New Roman" w:cs="Times New Roman"/>
          <w:sz w:val="24"/>
          <w:szCs w:val="24"/>
        </w:rPr>
      </w:pPr>
    </w:p>
    <w:p w:rsidR="00BA015F" w:rsidRPr="00BA015F" w:rsidRDefault="00BA015F" w:rsidP="00BA015F">
      <w:pPr>
        <w:numPr>
          <w:ilvl w:val="2"/>
          <w:numId w:val="21"/>
        </w:numPr>
        <w:spacing w:before="100" w:beforeAutospacing="1" w:after="120" w:line="240" w:lineRule="auto"/>
        <w:rPr>
          <w:rFonts w:ascii="Times New Roman" w:eastAsia="Times New Roman" w:hAnsi="Times New Roman" w:cs="Times New Roman"/>
          <w:sz w:val="24"/>
          <w:szCs w:val="24"/>
        </w:rPr>
      </w:pPr>
      <w:hyperlink r:id="rId15" w:history="1">
        <w:r w:rsidRPr="00BA015F">
          <w:rPr>
            <w:rFonts w:ascii="Maiandra GD" w:eastAsia="Times New Roman" w:hAnsi="Maiandra GD" w:cs="Times New Roman"/>
            <w:color w:val="0000FF"/>
            <w:sz w:val="24"/>
            <w:szCs w:val="24"/>
            <w:u w:val="single"/>
          </w:rPr>
          <w:t>https://cfext.epa.gov/cetl/lblogin.cfm?action=None</w:t>
        </w:r>
      </w:hyperlink>
    </w:p>
    <w:p w:rsidR="00BA015F" w:rsidRPr="00BA015F" w:rsidRDefault="00BA015F" w:rsidP="00BA015F">
      <w:pPr>
        <w:spacing w:before="100" w:beforeAutospacing="1" w:after="120" w:line="240" w:lineRule="auto"/>
        <w:rPr>
          <w:rFonts w:ascii="Times New Roman" w:eastAsia="Times New Roman" w:hAnsi="Times New Roman" w:cs="Times New Roman"/>
          <w:sz w:val="24"/>
          <w:szCs w:val="24"/>
        </w:rPr>
      </w:pPr>
      <w:r w:rsidRPr="00BA015F">
        <w:rPr>
          <w:rFonts w:ascii="Maiandra GD" w:eastAsia="Times New Roman" w:hAnsi="Maiandra GD" w:cs="Times New Roman"/>
          <w:sz w:val="24"/>
          <w:szCs w:val="24"/>
        </w:rPr>
        <w:t> </w:t>
      </w:r>
    </w:p>
    <w:p w:rsidR="00BA015F" w:rsidRPr="00BA015F" w:rsidRDefault="00BA015F" w:rsidP="00BA015F">
      <w:pPr>
        <w:spacing w:before="100" w:beforeAutospacing="1" w:after="120" w:line="240" w:lineRule="auto"/>
        <w:jc w:val="center"/>
        <w:rPr>
          <w:rFonts w:ascii="Times New Roman" w:eastAsia="Times New Roman" w:hAnsi="Times New Roman" w:cs="Times New Roman"/>
          <w:sz w:val="24"/>
          <w:szCs w:val="24"/>
        </w:rPr>
      </w:pPr>
      <w:hyperlink r:id="rId16" w:history="1">
        <w:r w:rsidRPr="00BA015F">
          <w:rPr>
            <w:rFonts w:ascii="Maiandra GD" w:eastAsia="Times New Roman" w:hAnsi="Maiandra GD" w:cs="Times New Roman"/>
            <w:color w:val="0000FF"/>
            <w:sz w:val="24"/>
            <w:szCs w:val="24"/>
            <w:u w:val="single"/>
          </w:rPr>
          <w:t>https://www.epa.gov/coronavirus</w:t>
        </w:r>
      </w:hyperlink>
    </w:p>
    <w:p w:rsidR="00BA015F" w:rsidRPr="00BA015F" w:rsidRDefault="00BA015F" w:rsidP="00BA015F">
      <w:pPr>
        <w:spacing w:before="100" w:beforeAutospacing="1" w:after="120" w:line="240" w:lineRule="auto"/>
        <w:jc w:val="center"/>
        <w:rPr>
          <w:rFonts w:ascii="Times New Roman" w:eastAsia="Times New Roman" w:hAnsi="Times New Roman" w:cs="Times New Roman"/>
          <w:sz w:val="24"/>
          <w:szCs w:val="24"/>
        </w:rPr>
      </w:pPr>
      <w:hyperlink r:id="rId17" w:history="1">
        <w:r w:rsidRPr="00BA015F">
          <w:rPr>
            <w:rFonts w:ascii="Maiandra GD" w:eastAsia="Times New Roman" w:hAnsi="Maiandra GD" w:cs="Times New Roman"/>
            <w:color w:val="0000FF"/>
            <w:sz w:val="24"/>
            <w:szCs w:val="24"/>
            <w:u w:val="single"/>
          </w:rPr>
          <w:t>https://www.epa.gov/waterresilience</w:t>
        </w:r>
      </w:hyperlink>
    </w:p>
    <w:p w:rsidR="0093216D" w:rsidRDefault="0093216D">
      <w:bookmarkStart w:id="0" w:name="_GoBack"/>
      <w:bookmarkEnd w:id="0"/>
    </w:p>
    <w:sectPr w:rsidR="0093216D" w:rsidSect="0089771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52051"/>
    <w:multiLevelType w:val="multilevel"/>
    <w:tmpl w:val="F2CE6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E12B43"/>
    <w:multiLevelType w:val="multilevel"/>
    <w:tmpl w:val="BEF66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93A21"/>
    <w:multiLevelType w:val="multilevel"/>
    <w:tmpl w:val="641E3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5274B7"/>
    <w:multiLevelType w:val="multilevel"/>
    <w:tmpl w:val="9D72C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6A7C4C"/>
    <w:multiLevelType w:val="multilevel"/>
    <w:tmpl w:val="77C89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9F0095"/>
    <w:multiLevelType w:val="multilevel"/>
    <w:tmpl w:val="03BCB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F51011"/>
    <w:multiLevelType w:val="multilevel"/>
    <w:tmpl w:val="40124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776533"/>
    <w:multiLevelType w:val="multilevel"/>
    <w:tmpl w:val="4D5A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B826FB"/>
    <w:multiLevelType w:val="multilevel"/>
    <w:tmpl w:val="5324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B43478"/>
    <w:multiLevelType w:val="multilevel"/>
    <w:tmpl w:val="27484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1830FF"/>
    <w:multiLevelType w:val="multilevel"/>
    <w:tmpl w:val="D8EC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CD3763"/>
    <w:multiLevelType w:val="multilevel"/>
    <w:tmpl w:val="32E2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DA456E"/>
    <w:multiLevelType w:val="multilevel"/>
    <w:tmpl w:val="BDBE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2D2676"/>
    <w:multiLevelType w:val="multilevel"/>
    <w:tmpl w:val="5C78C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5946ED"/>
    <w:multiLevelType w:val="multilevel"/>
    <w:tmpl w:val="53C8A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CB1455"/>
    <w:multiLevelType w:val="multilevel"/>
    <w:tmpl w:val="4ABC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C35476"/>
    <w:multiLevelType w:val="multilevel"/>
    <w:tmpl w:val="01686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38050E"/>
    <w:multiLevelType w:val="multilevel"/>
    <w:tmpl w:val="4C26D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B3333E"/>
    <w:multiLevelType w:val="multilevel"/>
    <w:tmpl w:val="0ACC7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9238E4"/>
    <w:multiLevelType w:val="multilevel"/>
    <w:tmpl w:val="78B8B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85703F"/>
    <w:multiLevelType w:val="multilevel"/>
    <w:tmpl w:val="E64E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3"/>
  </w:num>
  <w:num w:numId="3">
    <w:abstractNumId w:val="10"/>
  </w:num>
  <w:num w:numId="4">
    <w:abstractNumId w:val="16"/>
  </w:num>
  <w:num w:numId="5">
    <w:abstractNumId w:val="12"/>
  </w:num>
  <w:num w:numId="6">
    <w:abstractNumId w:val="6"/>
  </w:num>
  <w:num w:numId="7">
    <w:abstractNumId w:val="7"/>
  </w:num>
  <w:num w:numId="8">
    <w:abstractNumId w:val="9"/>
  </w:num>
  <w:num w:numId="9">
    <w:abstractNumId w:val="4"/>
  </w:num>
  <w:num w:numId="10">
    <w:abstractNumId w:val="3"/>
  </w:num>
  <w:num w:numId="11">
    <w:abstractNumId w:val="14"/>
  </w:num>
  <w:num w:numId="12">
    <w:abstractNumId w:val="15"/>
  </w:num>
  <w:num w:numId="13">
    <w:abstractNumId w:val="19"/>
  </w:num>
  <w:num w:numId="14">
    <w:abstractNumId w:val="17"/>
  </w:num>
  <w:num w:numId="15">
    <w:abstractNumId w:val="11"/>
  </w:num>
  <w:num w:numId="16">
    <w:abstractNumId w:val="5"/>
  </w:num>
  <w:num w:numId="17">
    <w:abstractNumId w:val="20"/>
  </w:num>
  <w:num w:numId="18">
    <w:abstractNumId w:val="18"/>
  </w:num>
  <w:num w:numId="19">
    <w:abstractNumId w:val="2"/>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15F"/>
    <w:rsid w:val="0093216D"/>
    <w:rsid w:val="00BA0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078B2-3126-43A6-80D4-9E403CE3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www.epa.gov_sites_production_files_2020-2D03_documents_pandemic-5Fiac-5Ffinal-5F032620-5F508-5Ffillable.pdf&amp;d=DwMGaQ&amp;c=M-lNcdl6npGsOqaqdPFSjarDyrdbuB4nahCaBJ7badE&amp;r=kih6Ki88Z0bbTW3jGUjTBXiXUV4m9os3u5NLw_R1waE&amp;m=1LyAoTYHj1Ibuty04t9zlpm2MetY4yj0xZuILh3Z0SM&amp;s=gYNmYr3mPWQzkmSPiXrnExinXaKHj4wP8hficQCMVnQ&amp;e=" TargetMode="External"/><Relationship Id="rId13" Type="http://schemas.openxmlformats.org/officeDocument/2006/relationships/hyperlink" Target="mailto:WLA@epa.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ldefense.proofpoint.com/v2/url?u=https-3A__www.epa.gov_sites_production_files_2020-2D04_water-5Futility-5Ftemplate-5Fcovid19.docx&amp;d=DwMGaQ&amp;c=M-lNcdl6npGsOqaqdPFSjarDyrdbuB4nahCaBJ7badE&amp;r=kih6Ki88Z0bbTW3jGUjTBXiXUV4m9os3u5NLw_R1waE&amp;m=1LyAoTYHj1Ibuty04t9zlpm2MetY4yj0xZuILh3Z0SM&amp;s=I2fpj5kB68HHA3R2T0pwAzQ06l0J-zvj0RQ4rNj4Znw&amp;e=" TargetMode="External"/><Relationship Id="rId12" Type="http://schemas.openxmlformats.org/officeDocument/2006/relationships/hyperlink" Target="https://urldefense.proofpoint.com/v2/url?u=https-3A__www.fedconnect.net_FedConnect_default.aspx-3FReturnUrl-3D-252fFedConnect-252f-253fdoc-253d68HERH20Q0073-2526agency-253dEPA-26doc-3D68HERH20Q0073-26agency-3DEPA&amp;d=DwMGaQ&amp;c=M-lNcdl6npGsOqaqdPFSjarDyrdbuB4nahCaBJ7badE&amp;r=kih6Ki88Z0bbTW3jGUjTBXiXUV4m9os3u5NLw_R1waE&amp;m=1LyAoTYHj1Ibuty04t9zlpm2MetY4yj0xZuILh3Z0SM&amp;s=V6eE2WA3c0oaZAXimBazC9bcj3R9WPspB52G3TUGPuM&amp;e=" TargetMode="External"/><Relationship Id="rId17" Type="http://schemas.openxmlformats.org/officeDocument/2006/relationships/hyperlink" Target="https://urldefense.proofpoint.com/v2/url?u=https-3A__www.epa.gov_waterresilience&amp;d=DwMGaQ&amp;c=M-lNcdl6npGsOqaqdPFSjarDyrdbuB4nahCaBJ7badE&amp;r=kih6Ki88Z0bbTW3jGUjTBXiXUV4m9os3u5NLw_R1waE&amp;m=1LyAoTYHj1Ibuty04t9zlpm2MetY4yj0xZuILh3Z0SM&amp;s=4grBhKYjmm0rB6S8Uzr17MfgHrn7HQyFuNmyL_e1Lxw&amp;e=" TargetMode="External"/><Relationship Id="rId2" Type="http://schemas.openxmlformats.org/officeDocument/2006/relationships/styles" Target="styles.xml"/><Relationship Id="rId16" Type="http://schemas.openxmlformats.org/officeDocument/2006/relationships/hyperlink" Target="https://urldefense.proofpoint.com/v2/url?u=https-3A__www.epa.gov_coronavirus&amp;d=DwMGaQ&amp;c=M-lNcdl6npGsOqaqdPFSjarDyrdbuB4nahCaBJ7badE&amp;r=kih6Ki88Z0bbTW3jGUjTBXiXUV4m9os3u5NLw_R1waE&amp;m=1LyAoTYHj1Ibuty04t9zlpm2MetY4yj0xZuILh3Z0SM&amp;s=GXw1XDHqcbbqXTg1JKDLavWikBuzCjwqvt27GxE4J2U&amp;e=" TargetMode="External"/><Relationship Id="rId1" Type="http://schemas.openxmlformats.org/officeDocument/2006/relationships/numbering" Target="numbering.xml"/><Relationship Id="rId6" Type="http://schemas.openxmlformats.org/officeDocument/2006/relationships/hyperlink" Target="https://urldefense.proofpoint.com/v2/url?u=https-3A__www.epa.gov_coronavirus_coronavirus-2Dand-2Ddrinking-2Dwater-2Dand-2Dwastewater&amp;d=DwMGaQ&amp;c=M-lNcdl6npGsOqaqdPFSjarDyrdbuB4nahCaBJ7badE&amp;r=kih6Ki88Z0bbTW3jGUjTBXiXUV4m9os3u5NLw_R1waE&amp;m=1LyAoTYHj1Ibuty04t9zlpm2MetY4yj0xZuILh3Z0SM&amp;s=xL3TI2v1c2Yp1FIrFzJe1eSkzGOT94GwjzZBfD4Vv8U&amp;e=" TargetMode="External"/><Relationship Id="rId11" Type="http://schemas.openxmlformats.org/officeDocument/2006/relationships/hyperlink" Target="https://urldefense.proofpoint.com/v2/url?u=https-3A__beta.sam.gov_opp_0ba79321c4c24d95823a6be0c7fb8d0b_view-3Fkeywords-3Derln-26sort-3D-2Drelevance-26index-3D-26is-5Factive-3Dtrue-26page-3D1&amp;d=DwMGaQ&amp;c=M-lNcdl6npGsOqaqdPFSjarDyrdbuB4nahCaBJ7badE&amp;r=kih6Ki88Z0bbTW3jGUjTBXiXUV4m9os3u5NLw_R1waE&amp;m=1LyAoTYHj1Ibuty04t9zlpm2MetY4yj0xZuILh3Z0SM&amp;s=BL2sTijcVWQXjk0tIBFobsyPGzPTTj08-C5zgYHAALQ&amp;e=" TargetMode="External"/><Relationship Id="rId5" Type="http://schemas.openxmlformats.org/officeDocument/2006/relationships/hyperlink" Target="https://urldefense.proofpoint.com/v2/url?u=https-3A__register.gotowebinar.com_register_6290760526788207374&amp;d=DwMGaQ&amp;c=M-lNcdl6npGsOqaqdPFSjarDyrdbuB4nahCaBJ7badE&amp;r=kih6Ki88Z0bbTW3jGUjTBXiXUV4m9os3u5NLw_R1waE&amp;m=1LyAoTYHj1Ibuty04t9zlpm2MetY4yj0xZuILh3Z0SM&amp;s=YCz-89tuf0p6Gz6f6bAVjddWhlYfIJBM9nVd0SYFLLM&amp;e=" TargetMode="External"/><Relationship Id="rId15" Type="http://schemas.openxmlformats.org/officeDocument/2006/relationships/hyperlink" Target="https://urldefense.proofpoint.com/v2/url?u=https-3A__cfext.epa.gov_cetl_lblogin.cfm-3Faction-3DNone&amp;d=DwMGaQ&amp;c=M-lNcdl6npGsOqaqdPFSjarDyrdbuB4nahCaBJ7badE&amp;r=kih6Ki88Z0bbTW3jGUjTBXiXUV4m9os3u5NLw_R1waE&amp;m=1LyAoTYHj1Ibuty04t9zlpm2MetY4yj0xZuILh3Z0SM&amp;s=km8gE1qh5BrezHCFrQ4-GLKhUuZhGv8lBbZEyDNIAQE&amp;e=" TargetMode="External"/><Relationship Id="rId10" Type="http://schemas.openxmlformats.org/officeDocument/2006/relationships/hyperlink" Target="https://urldefense.proofpoint.com/v2/url?u=https-3A__www.epa.gov_sites_production_files_documents_erln-5Fgeneral-5Ffs.pdf&amp;d=DwMGaQ&amp;c=M-lNcdl6npGsOqaqdPFSjarDyrdbuB4nahCaBJ7badE&amp;r=kih6Ki88Z0bbTW3jGUjTBXiXUV4m9os3u5NLw_R1waE&amp;m=1LyAoTYHj1Ibuty04t9zlpm2MetY4yj0xZuILh3Z0SM&amp;s=i5_ehwpHmNq91IQrSBSMjlUlxfpkU6xmDxZUTAMleCA&amp;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rldefense.proofpoint.com/v2/url?u=https-3A__www.epa.gov_waterlabnetwork&amp;d=DwMGaQ&amp;c=M-lNcdl6npGsOqaqdPFSjarDyrdbuB4nahCaBJ7badE&amp;r=kih6Ki88Z0bbTW3jGUjTBXiXUV4m9os3u5NLw_R1waE&amp;m=1LyAoTYHj1Ibuty04t9zlpm2MetY4yj0xZuILh3Z0SM&amp;s=XBcMeq1NRnisRK9N6lZ3a0KTbjwh5LRrAmwSZYbxdFU&amp;e=" TargetMode="External"/><Relationship Id="rId14" Type="http://schemas.openxmlformats.org/officeDocument/2006/relationships/hyperlink" Target="https://urldefense.proofpoint.com/v2/url?u=https-3A__www.epa.gov_sites_production_files_2018-2D06_documents_erln-5Fcompendium-5Ffactsheet-5F6-2D28-2D18.pdf&amp;d=DwMGaQ&amp;c=M-lNcdl6npGsOqaqdPFSjarDyrdbuB4nahCaBJ7badE&amp;r=kih6Ki88Z0bbTW3jGUjTBXiXUV4m9os3u5NLw_R1waE&amp;m=1LyAoTYHj1Ibuty04t9zlpm2MetY4yj0xZuILh3Z0SM&amp;s=hAiymAVs8o_fO3N9SGDzcM1Z4S1EpklW4Lr44MYmVDI&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Murray</dc:creator>
  <cp:keywords/>
  <dc:description/>
  <cp:lastModifiedBy>Anne Murray</cp:lastModifiedBy>
  <cp:revision>1</cp:revision>
  <dcterms:created xsi:type="dcterms:W3CDTF">2020-04-07T13:51:00Z</dcterms:created>
  <dcterms:modified xsi:type="dcterms:W3CDTF">2020-04-07T14:04:00Z</dcterms:modified>
</cp:coreProperties>
</file>